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9E" w:rsidRDefault="0068204A" w:rsidP="0068204A">
      <w:pPr>
        <w:ind w:left="284"/>
      </w:pPr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914400" cy="1133475"/>
            <wp:effectExtent l="0" t="0" r="0" b="0"/>
            <wp:docPr id="2" name="Immagine 2" descr="cgils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ilsl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914400" cy="1133475"/>
            <wp:effectExtent l="0" t="0" r="0" b="0"/>
            <wp:docPr id="5" name="Immagine 5" descr="cgils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gilsl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04A" w:rsidRPr="0068204A" w:rsidRDefault="0068204A" w:rsidP="0068204A">
      <w:pPr>
        <w:ind w:left="284"/>
        <w:rPr>
          <w:b/>
        </w:rPr>
      </w:pPr>
      <w:r w:rsidRPr="0068204A">
        <w:rPr>
          <w:b/>
        </w:rPr>
        <w:t xml:space="preserve">             Puglia                                                                                                                                       Taranto</w:t>
      </w:r>
    </w:p>
    <w:p w:rsidR="00AC29A0" w:rsidRPr="0068204A" w:rsidRDefault="0014199E" w:rsidP="0068204A">
      <w:pPr>
        <w:ind w:left="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54CEB" w:rsidRPr="0014199E">
        <w:rPr>
          <w:b/>
          <w:sz w:val="24"/>
          <w:szCs w:val="24"/>
        </w:rPr>
        <w:t xml:space="preserve">   </w:t>
      </w:r>
      <w:r w:rsidR="00FA066B" w:rsidRPr="0014199E">
        <w:rPr>
          <w:rFonts w:ascii="Tahoma" w:hAnsi="Tahoma" w:cs="Tahoma"/>
          <w:b/>
          <w:sz w:val="24"/>
          <w:szCs w:val="24"/>
        </w:rPr>
        <w:t xml:space="preserve"> </w:t>
      </w:r>
      <w:r w:rsidR="00F54CEB" w:rsidRPr="0014199E">
        <w:rPr>
          <w:b/>
          <w:sz w:val="24"/>
          <w:szCs w:val="24"/>
        </w:rPr>
        <w:t xml:space="preserve"> </w:t>
      </w:r>
      <w:r w:rsidR="00FA066B" w:rsidRPr="0014199E">
        <w:rPr>
          <w:b/>
          <w:sz w:val="24"/>
          <w:szCs w:val="24"/>
        </w:rPr>
        <w:t xml:space="preserve">                    </w:t>
      </w:r>
      <w:r w:rsidR="00F54CEB" w:rsidRPr="0014199E">
        <w:rPr>
          <w:b/>
          <w:sz w:val="24"/>
          <w:szCs w:val="24"/>
        </w:rPr>
        <w:t xml:space="preserve"> </w:t>
      </w:r>
      <w:r w:rsidR="00FA066B" w:rsidRPr="0014199E">
        <w:rPr>
          <w:b/>
          <w:sz w:val="24"/>
          <w:szCs w:val="24"/>
        </w:rPr>
        <w:t xml:space="preserve"> </w:t>
      </w:r>
    </w:p>
    <w:p w:rsidR="00094E81" w:rsidRPr="00F01B13" w:rsidRDefault="00094E81" w:rsidP="00094E81">
      <w:pPr>
        <w:jc w:val="center"/>
        <w:rPr>
          <w:rFonts w:ascii="Verdana" w:hAnsi="Verdana"/>
          <w:b/>
        </w:rPr>
      </w:pPr>
      <w:r w:rsidRPr="00F01B13">
        <w:rPr>
          <w:rFonts w:ascii="Verdana" w:hAnsi="Verdana"/>
          <w:b/>
        </w:rPr>
        <w:t xml:space="preserve">SLC CGIL TARANTO: APERTURA STATO </w:t>
      </w:r>
      <w:proofErr w:type="spellStart"/>
      <w:r w:rsidRPr="00F01B13">
        <w:rPr>
          <w:rFonts w:ascii="Verdana" w:hAnsi="Verdana"/>
          <w:b/>
        </w:rPr>
        <w:t>DI</w:t>
      </w:r>
      <w:proofErr w:type="spellEnd"/>
      <w:r w:rsidRPr="00F01B13">
        <w:rPr>
          <w:rFonts w:ascii="Verdana" w:hAnsi="Verdana"/>
          <w:b/>
        </w:rPr>
        <w:t xml:space="preserve"> AGITAZIONE A TELEPERFORMANCE E INDIZIONE SCIOPERO PER 15-16-17 OTTOBRE </w:t>
      </w:r>
    </w:p>
    <w:p w:rsidR="00094E81" w:rsidRPr="0068204A" w:rsidRDefault="00094E81" w:rsidP="0068204A">
      <w:pPr>
        <w:jc w:val="center"/>
        <w:rPr>
          <w:rFonts w:ascii="Verdana" w:hAnsi="Verdana"/>
          <w:u w:val="single"/>
        </w:rPr>
      </w:pPr>
      <w:r w:rsidRPr="00F01B13">
        <w:rPr>
          <w:rFonts w:ascii="Verdana" w:hAnsi="Verdana"/>
          <w:u w:val="single"/>
        </w:rPr>
        <w:t>di una ora alla chiusura per ogni turno lavorativo</w:t>
      </w:r>
    </w:p>
    <w:p w:rsidR="00094E81" w:rsidRPr="00F01B13" w:rsidRDefault="00094E81" w:rsidP="00094E81">
      <w:pPr>
        <w:jc w:val="both"/>
        <w:rPr>
          <w:rFonts w:ascii="Verdana" w:hAnsi="Verdana"/>
        </w:rPr>
      </w:pPr>
      <w:r w:rsidRPr="00F01B13">
        <w:rPr>
          <w:rFonts w:ascii="Verdana" w:hAnsi="Verdana"/>
        </w:rPr>
        <w:t xml:space="preserve">Ormai da mesi la Direzione Aziendale di </w:t>
      </w:r>
      <w:proofErr w:type="spellStart"/>
      <w:r w:rsidRPr="00F01B13">
        <w:rPr>
          <w:rFonts w:ascii="Verdana" w:hAnsi="Verdana"/>
        </w:rPr>
        <w:t>Teleperformance</w:t>
      </w:r>
      <w:proofErr w:type="spellEnd"/>
      <w:r w:rsidRPr="00F01B13">
        <w:rPr>
          <w:rFonts w:ascii="Verdana" w:hAnsi="Verdana"/>
        </w:rPr>
        <w:t xml:space="preserve"> ha intrapreso un’ingiustificabile la caccia alle streghe aperta tra le Lavoratrici e i Lavoratori che si concretizza in CONTINUI licenziamenti individuali e lettere di contestazione, comminati per le motivazioni più varie, pretestuose e illegittime, accrescendo un clima di tensione esasperata e dannosa per tutta l'azienda.</w:t>
      </w:r>
    </w:p>
    <w:p w:rsidR="00094E81" w:rsidRPr="00F01B13" w:rsidRDefault="00094E81" w:rsidP="00094E81">
      <w:pPr>
        <w:jc w:val="both"/>
        <w:rPr>
          <w:rFonts w:ascii="Verdana" w:hAnsi="Verdana"/>
        </w:rPr>
      </w:pPr>
      <w:r w:rsidRPr="00F01B13">
        <w:rPr>
          <w:rFonts w:ascii="Verdana" w:hAnsi="Verdana"/>
        </w:rPr>
        <w:t xml:space="preserve">Per citare solo il più recente, riteniamo abnorme e gravissimo il licenziamento disposto nei confronti di un nostro collega appena sabato scorso, per motivazioni inconsistenti che tradiscono la completa sudditanza di </w:t>
      </w:r>
      <w:proofErr w:type="spellStart"/>
      <w:r w:rsidRPr="00F01B13">
        <w:rPr>
          <w:rFonts w:ascii="Verdana" w:hAnsi="Verdana"/>
        </w:rPr>
        <w:t>Teleperformance</w:t>
      </w:r>
      <w:proofErr w:type="spellEnd"/>
      <w:r w:rsidRPr="00F01B13">
        <w:rPr>
          <w:rFonts w:ascii="Verdana" w:hAnsi="Verdana"/>
        </w:rPr>
        <w:t xml:space="preserve"> ai “diktat” dei suoi committenti e deploriamo profondamente le modalità con cui è avvenuto.</w:t>
      </w:r>
    </w:p>
    <w:p w:rsidR="00094E81" w:rsidRPr="00F01B13" w:rsidRDefault="00094E81" w:rsidP="00094E81">
      <w:pPr>
        <w:jc w:val="both"/>
        <w:rPr>
          <w:rFonts w:ascii="Verdana" w:hAnsi="Verdana"/>
        </w:rPr>
      </w:pPr>
      <w:r w:rsidRPr="00F01B13">
        <w:rPr>
          <w:rFonts w:ascii="Verdana" w:hAnsi="Verdana"/>
        </w:rPr>
        <w:t xml:space="preserve">Noi riteniamo che </w:t>
      </w:r>
      <w:proofErr w:type="spellStart"/>
      <w:r w:rsidRPr="00F01B13">
        <w:rPr>
          <w:rFonts w:ascii="Verdana" w:hAnsi="Verdana"/>
        </w:rPr>
        <w:t>Teleperformance</w:t>
      </w:r>
      <w:proofErr w:type="spellEnd"/>
      <w:r w:rsidRPr="00F01B13">
        <w:rPr>
          <w:rFonts w:ascii="Verdana" w:hAnsi="Verdana"/>
        </w:rPr>
        <w:t>, oltre a pretendere diligenza dagli</w:t>
      </w:r>
      <w:r>
        <w:rPr>
          <w:rFonts w:ascii="Verdana" w:hAnsi="Verdana"/>
        </w:rPr>
        <w:t xml:space="preserve"> </w:t>
      </w:r>
      <w:r w:rsidRPr="00F01B13">
        <w:rPr>
          <w:rFonts w:ascii="Verdana" w:hAnsi="Verdana"/>
        </w:rPr>
        <w:t>operatori, dovrebbe occuparsi di creare un clima positivo nelle sale, di</w:t>
      </w:r>
      <w:bookmarkStart w:id="0" w:name="_GoBack"/>
      <w:bookmarkEnd w:id="0"/>
      <w:r>
        <w:rPr>
          <w:rFonts w:ascii="Verdana" w:hAnsi="Verdana"/>
        </w:rPr>
        <w:t xml:space="preserve"> </w:t>
      </w:r>
      <w:r w:rsidRPr="00F01B13">
        <w:rPr>
          <w:rFonts w:ascii="Verdana" w:hAnsi="Verdana"/>
        </w:rPr>
        <w:t>formare i SV preposti a rispondere alle richieste operative di chi è in</w:t>
      </w:r>
      <w:r>
        <w:rPr>
          <w:rFonts w:ascii="Verdana" w:hAnsi="Verdana"/>
        </w:rPr>
        <w:t xml:space="preserve"> </w:t>
      </w:r>
      <w:r w:rsidRPr="00F01B13">
        <w:rPr>
          <w:rFonts w:ascii="Verdana" w:hAnsi="Verdana"/>
        </w:rPr>
        <w:t>cuffia ( superando il disagio sia di chi non ha le competenze, sia di chi</w:t>
      </w:r>
      <w:r>
        <w:rPr>
          <w:rFonts w:ascii="Verdana" w:hAnsi="Verdana"/>
        </w:rPr>
        <w:t xml:space="preserve"> </w:t>
      </w:r>
      <w:r w:rsidRPr="00F01B13">
        <w:rPr>
          <w:rFonts w:ascii="Verdana" w:hAnsi="Verdana"/>
        </w:rPr>
        <w:t xml:space="preserve">necessita di sostegno), di creare una gestione del personale corretta e non più improntata all’improvvisazione e al pressapochismo. </w:t>
      </w:r>
      <w:proofErr w:type="spellStart"/>
      <w:r w:rsidRPr="00F01B13">
        <w:rPr>
          <w:rFonts w:ascii="Verdana" w:hAnsi="Verdana"/>
        </w:rPr>
        <w:t>Teleperformance</w:t>
      </w:r>
      <w:proofErr w:type="spellEnd"/>
      <w:r w:rsidRPr="00F01B13">
        <w:rPr>
          <w:rFonts w:ascii="Verdana" w:hAnsi="Verdana"/>
        </w:rPr>
        <w:t xml:space="preserve"> si ricordi che la baracca rimane in piedi perché sono i Lavoratori a pedalare, ognuno nelle proprie funzioni e competenze: è intollerabile quello che si sta inscenando in questi giorni, per </w:t>
      </w:r>
      <w:r w:rsidR="0068204A">
        <w:rPr>
          <w:rFonts w:ascii="Verdana" w:hAnsi="Verdana"/>
        </w:rPr>
        <w:t>non dimentic</w:t>
      </w:r>
      <w:r w:rsidRPr="00F01B13">
        <w:rPr>
          <w:rFonts w:ascii="Verdana" w:hAnsi="Verdana"/>
        </w:rPr>
        <w:t>are nemmeno la questione della policy sulla sicurezza, sulla quale abbiamo molto da dire</w:t>
      </w:r>
      <w:r>
        <w:rPr>
          <w:rFonts w:ascii="Verdana" w:hAnsi="Verdana"/>
        </w:rPr>
        <w:t>.</w:t>
      </w:r>
    </w:p>
    <w:p w:rsidR="00094E81" w:rsidRPr="00F01B13" w:rsidRDefault="00094E81" w:rsidP="00094E81">
      <w:pPr>
        <w:jc w:val="both"/>
        <w:rPr>
          <w:rFonts w:ascii="Verdana" w:hAnsi="Verdana"/>
        </w:rPr>
      </w:pPr>
      <w:r w:rsidRPr="00F01B13">
        <w:rPr>
          <w:rFonts w:ascii="Verdana" w:hAnsi="Verdana"/>
        </w:rPr>
        <w:t xml:space="preserve">Di fronte allo stillicidio di contestazioni e licenziamenti con cui </w:t>
      </w:r>
      <w:proofErr w:type="spellStart"/>
      <w:r w:rsidRPr="00F01B13">
        <w:rPr>
          <w:rFonts w:ascii="Verdana" w:hAnsi="Verdana"/>
        </w:rPr>
        <w:t>Teleperformance</w:t>
      </w:r>
      <w:proofErr w:type="spellEnd"/>
      <w:r w:rsidRPr="00F01B13">
        <w:rPr>
          <w:rFonts w:ascii="Verdana" w:hAnsi="Verdana"/>
        </w:rPr>
        <w:t xml:space="preserve"> falcidia la sua stessa forza lavoro, non possiamo più stare a guardare e limitarci alla tutela legale dei lavoratori colpiti.</w:t>
      </w:r>
    </w:p>
    <w:p w:rsidR="00094E81" w:rsidRPr="00F01B13" w:rsidRDefault="00094E81" w:rsidP="0068204A">
      <w:pPr>
        <w:jc w:val="center"/>
        <w:rPr>
          <w:rFonts w:ascii="Verdana" w:hAnsi="Verdana"/>
        </w:rPr>
      </w:pPr>
      <w:r w:rsidRPr="00F01B13">
        <w:rPr>
          <w:rFonts w:ascii="Verdana" w:hAnsi="Verdana"/>
          <w:b/>
        </w:rPr>
        <w:t>DOBBIAMO REAGIRE TUTTI INSIEME</w:t>
      </w:r>
      <w:r w:rsidRPr="00F01B13">
        <w:rPr>
          <w:rFonts w:ascii="Verdana" w:hAnsi="Verdana"/>
        </w:rPr>
        <w:t>.</w:t>
      </w:r>
    </w:p>
    <w:p w:rsidR="00094E81" w:rsidRDefault="00094E81" w:rsidP="00094E81">
      <w:pPr>
        <w:jc w:val="both"/>
        <w:rPr>
          <w:rFonts w:ascii="Verdana" w:hAnsi="Verdana"/>
          <w:u w:val="single"/>
        </w:rPr>
      </w:pPr>
      <w:r w:rsidRPr="00F01B13">
        <w:rPr>
          <w:rFonts w:ascii="Verdana" w:hAnsi="Verdana"/>
        </w:rPr>
        <w:t>Per questo</w:t>
      </w:r>
      <w:r>
        <w:rPr>
          <w:rFonts w:ascii="Verdana" w:hAnsi="Verdana"/>
        </w:rPr>
        <w:t>, oltre alle già interrotte le Relazioni S</w:t>
      </w:r>
      <w:r w:rsidRPr="00F01B13">
        <w:rPr>
          <w:rFonts w:ascii="Verdana" w:hAnsi="Verdana"/>
        </w:rPr>
        <w:t xml:space="preserve">indacali con </w:t>
      </w:r>
      <w:proofErr w:type="spellStart"/>
      <w:r w:rsidRPr="00F01B13">
        <w:rPr>
          <w:rFonts w:ascii="Verdana" w:hAnsi="Verdana"/>
        </w:rPr>
        <w:t>Teleperfomance</w:t>
      </w:r>
      <w:proofErr w:type="spellEnd"/>
      <w:r w:rsidRPr="00F01B13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Pr="00F01B13">
        <w:rPr>
          <w:rFonts w:ascii="Verdana" w:hAnsi="Verdana"/>
        </w:rPr>
        <w:t>apriamo sin da subito lo stato di agitazione  fino alla reintegra nel</w:t>
      </w:r>
      <w:r>
        <w:rPr>
          <w:rFonts w:ascii="Verdana" w:hAnsi="Verdana"/>
        </w:rPr>
        <w:t xml:space="preserve"> posto di lavoro del Lavoratore</w:t>
      </w:r>
      <w:r w:rsidRPr="00F01B13">
        <w:rPr>
          <w:rFonts w:ascii="Verdana" w:hAnsi="Verdana"/>
        </w:rPr>
        <w:t xml:space="preserve"> ingiustamente licenziato ed alla rivisitazione/ritiro della policy sulla sicurezza:</w:t>
      </w:r>
      <w:r>
        <w:rPr>
          <w:rFonts w:ascii="Verdana" w:hAnsi="Verdana"/>
        </w:rPr>
        <w:t xml:space="preserve">pertanto </w:t>
      </w:r>
      <w:r w:rsidRPr="0094560D">
        <w:rPr>
          <w:rFonts w:ascii="Verdana" w:hAnsi="Verdana"/>
          <w:b/>
        </w:rPr>
        <w:t>CHIEDIAMO</w:t>
      </w:r>
      <w:r w:rsidRPr="00F01B13">
        <w:rPr>
          <w:rFonts w:ascii="Verdana" w:hAnsi="Verdana"/>
        </w:rPr>
        <w:t xml:space="preserve"> a tutte le lavoratrici e i lavoratori di rispondere al costante stato di attacco a cui sono sottoposti, con la proclamazione di </w:t>
      </w:r>
      <w:r w:rsidRPr="0094560D">
        <w:rPr>
          <w:rFonts w:ascii="Verdana" w:hAnsi="Verdana"/>
          <w:u w:val="single"/>
        </w:rPr>
        <w:t>1 ora di sciopero alla chiusura di ogni turno lavorativo nei giorni 15, 16 e 17 Ottobre 2015</w:t>
      </w:r>
      <w:r>
        <w:rPr>
          <w:rFonts w:ascii="Verdana" w:hAnsi="Verdana"/>
          <w:u w:val="single"/>
        </w:rPr>
        <w:t>.</w:t>
      </w:r>
    </w:p>
    <w:p w:rsidR="0068204A" w:rsidRPr="0094560D" w:rsidRDefault="0068204A" w:rsidP="00094E81">
      <w:pPr>
        <w:jc w:val="both"/>
        <w:rPr>
          <w:rFonts w:ascii="Verdana" w:hAnsi="Verdana"/>
          <w:u w:val="single"/>
        </w:rPr>
      </w:pPr>
    </w:p>
    <w:p w:rsidR="00AC29A0" w:rsidRPr="00094E81" w:rsidRDefault="00094E81" w:rsidP="00094E81">
      <w:pPr>
        <w:pStyle w:val="Paragrafoelenco"/>
        <w:ind w:left="0"/>
        <w:rPr>
          <w:b/>
        </w:rPr>
      </w:pPr>
      <w:r w:rsidRPr="00094E81">
        <w:rPr>
          <w:b/>
        </w:rPr>
        <w:t>Il Segretario Generale SLC Puglia</w:t>
      </w:r>
      <w:r w:rsidRPr="00094E81">
        <w:rPr>
          <w:b/>
        </w:rPr>
        <w:tab/>
      </w:r>
      <w:r w:rsidRPr="00094E81">
        <w:rPr>
          <w:b/>
        </w:rPr>
        <w:tab/>
      </w:r>
      <w:r w:rsidRPr="00094E81">
        <w:rPr>
          <w:b/>
        </w:rPr>
        <w:tab/>
      </w:r>
      <w:r w:rsidRPr="00094E81">
        <w:rPr>
          <w:b/>
        </w:rPr>
        <w:tab/>
      </w:r>
      <w:r w:rsidRPr="00094E81">
        <w:rPr>
          <w:b/>
        </w:rPr>
        <w:tab/>
      </w:r>
      <w:r w:rsidRPr="00094E81">
        <w:rPr>
          <w:b/>
        </w:rPr>
        <w:tab/>
        <w:t>Il Segretario Generale SLC Taranto</w:t>
      </w:r>
    </w:p>
    <w:p w:rsidR="000D0F9A" w:rsidRPr="0068204A" w:rsidRDefault="00094E81" w:rsidP="0068204A">
      <w:pPr>
        <w:pStyle w:val="Paragrafoelenco"/>
        <w:ind w:left="0"/>
        <w:rPr>
          <w:b/>
          <w:sz w:val="24"/>
          <w:szCs w:val="24"/>
        </w:rPr>
      </w:pPr>
      <w:r w:rsidRPr="00094E81">
        <w:rPr>
          <w:b/>
        </w:rPr>
        <w:t xml:space="preserve">        </w:t>
      </w:r>
      <w:r w:rsidR="0068204A">
        <w:rPr>
          <w:b/>
        </w:rPr>
        <w:t xml:space="preserve">   </w:t>
      </w:r>
      <w:r w:rsidRPr="00094E81">
        <w:rPr>
          <w:b/>
        </w:rPr>
        <w:t xml:space="preserve"> Nicola Di Ceglie</w:t>
      </w:r>
      <w:r w:rsidRPr="00094E81">
        <w:rPr>
          <w:b/>
        </w:rPr>
        <w:tab/>
      </w:r>
      <w:r w:rsidRPr="00094E81">
        <w:rPr>
          <w:b/>
        </w:rPr>
        <w:tab/>
      </w:r>
      <w:r w:rsidRPr="00094E81">
        <w:rPr>
          <w:b/>
        </w:rPr>
        <w:tab/>
      </w:r>
      <w:r w:rsidRPr="00094E81">
        <w:rPr>
          <w:b/>
        </w:rPr>
        <w:tab/>
      </w:r>
      <w:r w:rsidRPr="00094E81">
        <w:rPr>
          <w:b/>
        </w:rPr>
        <w:tab/>
      </w:r>
      <w:r w:rsidRPr="00094E81">
        <w:rPr>
          <w:b/>
        </w:rPr>
        <w:tab/>
      </w:r>
      <w:r w:rsidRPr="00094E81">
        <w:rPr>
          <w:b/>
        </w:rPr>
        <w:tab/>
      </w:r>
      <w:r w:rsidRPr="00094E81">
        <w:rPr>
          <w:b/>
        </w:rPr>
        <w:tab/>
      </w:r>
      <w:r w:rsidRPr="00094E81">
        <w:rPr>
          <w:b/>
        </w:rPr>
        <w:tab/>
      </w:r>
      <w:r w:rsidR="0068204A">
        <w:rPr>
          <w:b/>
        </w:rPr>
        <w:t xml:space="preserve">     </w:t>
      </w:r>
      <w:r w:rsidRPr="00094E81">
        <w:rPr>
          <w:b/>
        </w:rPr>
        <w:t>Andrea Lumino</w:t>
      </w:r>
      <w:r w:rsidR="00B64A7C" w:rsidRPr="00094E81">
        <w:rPr>
          <w:sz w:val="32"/>
          <w:szCs w:val="32"/>
        </w:rPr>
        <w:tab/>
      </w:r>
      <w:r w:rsidR="00B64A7C" w:rsidRPr="00094E81">
        <w:rPr>
          <w:sz w:val="32"/>
          <w:szCs w:val="32"/>
        </w:rPr>
        <w:tab/>
      </w:r>
      <w:r w:rsidR="00B64A7C" w:rsidRPr="00094E81">
        <w:rPr>
          <w:sz w:val="32"/>
          <w:szCs w:val="32"/>
        </w:rPr>
        <w:tab/>
      </w:r>
      <w:r w:rsidR="00B64A7C" w:rsidRPr="00094E81">
        <w:rPr>
          <w:sz w:val="32"/>
          <w:szCs w:val="32"/>
        </w:rPr>
        <w:tab/>
      </w:r>
      <w:r w:rsidR="00B64A7C" w:rsidRPr="00094E81">
        <w:rPr>
          <w:sz w:val="32"/>
          <w:szCs w:val="32"/>
        </w:rPr>
        <w:tab/>
      </w:r>
      <w:r w:rsidR="0068204A">
        <w:rPr>
          <w:sz w:val="32"/>
          <w:szCs w:val="32"/>
        </w:rPr>
        <w:t xml:space="preserve">              </w:t>
      </w:r>
      <w:r w:rsidR="0068204A">
        <w:rPr>
          <w:sz w:val="24"/>
          <w:szCs w:val="24"/>
        </w:rPr>
        <w:t xml:space="preserve">Bari 13 ottobre 2015 </w:t>
      </w:r>
    </w:p>
    <w:sectPr w:rsidR="000D0F9A" w:rsidRPr="0068204A" w:rsidSect="0068204A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slc" style="width:48pt;height:63.75pt;visibility:visible;mso-wrap-style:square" o:bullet="t">
        <v:imagedata r:id="rId1" o:title="slc"/>
      </v:shape>
    </w:pict>
  </w:numPicBullet>
  <w:abstractNum w:abstractNumId="0">
    <w:nsid w:val="128C3151"/>
    <w:multiLevelType w:val="hybridMultilevel"/>
    <w:tmpl w:val="AF7E1022"/>
    <w:lvl w:ilvl="0" w:tplc="2CDA369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44"/>
        <w:szCs w:val="144"/>
      </w:rPr>
    </w:lvl>
    <w:lvl w:ilvl="1" w:tplc="9B0249EE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B35C4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7EC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0C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1EB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D4E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6D9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5A88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64A7C"/>
    <w:rsid w:val="00094E81"/>
    <w:rsid w:val="000D0F9A"/>
    <w:rsid w:val="0014199E"/>
    <w:rsid w:val="004F79F5"/>
    <w:rsid w:val="0068204A"/>
    <w:rsid w:val="00907406"/>
    <w:rsid w:val="00A23271"/>
    <w:rsid w:val="00AC29A0"/>
    <w:rsid w:val="00B64A7C"/>
    <w:rsid w:val="00E34AAC"/>
    <w:rsid w:val="00F14A1C"/>
    <w:rsid w:val="00F54CEB"/>
    <w:rsid w:val="00FA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0F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A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4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2015-10-13T08:06:00Z</cp:lastPrinted>
  <dcterms:created xsi:type="dcterms:W3CDTF">2015-10-13T08:07:00Z</dcterms:created>
  <dcterms:modified xsi:type="dcterms:W3CDTF">2015-10-13T08:07:00Z</dcterms:modified>
</cp:coreProperties>
</file>